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510" w:rsidRDefault="00603737" w:rsidP="007F5B6B">
      <w:pPr>
        <w:jc w:val="center"/>
        <w:rPr>
          <w:b/>
          <w:u w:val="single"/>
        </w:rPr>
      </w:pPr>
      <w:bookmarkStart w:id="0" w:name="_GoBack"/>
      <w:bookmarkEnd w:id="0"/>
      <w:r>
        <w:rPr>
          <w:b/>
          <w:u w:val="single"/>
        </w:rPr>
        <w:t>Health and Safety</w:t>
      </w:r>
      <w:r w:rsidR="007F5B6B" w:rsidRPr="007F5B6B">
        <w:rPr>
          <w:b/>
          <w:u w:val="single"/>
        </w:rPr>
        <w:t xml:space="preserve"> </w:t>
      </w:r>
      <w:r w:rsidR="00F45C3D">
        <w:rPr>
          <w:b/>
          <w:u w:val="single"/>
        </w:rPr>
        <w:t>Performance Report 201</w:t>
      </w:r>
      <w:r w:rsidR="007F1D3B">
        <w:rPr>
          <w:b/>
          <w:u w:val="single"/>
        </w:rPr>
        <w:t>7</w:t>
      </w:r>
      <w:r w:rsidR="00F45C3D">
        <w:rPr>
          <w:b/>
          <w:u w:val="single"/>
        </w:rPr>
        <w:t>-1</w:t>
      </w:r>
      <w:r w:rsidR="007F1D3B">
        <w:rPr>
          <w:b/>
          <w:u w:val="single"/>
        </w:rPr>
        <w:t>8</w:t>
      </w:r>
    </w:p>
    <w:p w:rsidR="007F1D3B" w:rsidRDefault="007F1D3B" w:rsidP="007F5B6B">
      <w:pPr>
        <w:jc w:val="center"/>
        <w:rPr>
          <w:b/>
          <w:u w:val="single"/>
        </w:rPr>
      </w:pPr>
    </w:p>
    <w:p w:rsidR="007F5B6B" w:rsidRDefault="007F5B6B" w:rsidP="001B232E">
      <w:pPr>
        <w:pStyle w:val="ListParagraph"/>
        <w:numPr>
          <w:ilvl w:val="0"/>
          <w:numId w:val="1"/>
        </w:numPr>
        <w:spacing w:after="0"/>
        <w:ind w:left="567" w:hanging="567"/>
        <w:rPr>
          <w:b/>
        </w:rPr>
      </w:pPr>
      <w:r w:rsidRPr="007F5B6B">
        <w:rPr>
          <w:b/>
        </w:rPr>
        <w:t xml:space="preserve">Purpose of Report </w:t>
      </w:r>
    </w:p>
    <w:p w:rsidR="001B232E" w:rsidRPr="001B232E" w:rsidRDefault="001B232E" w:rsidP="001B232E">
      <w:pPr>
        <w:spacing w:after="0"/>
        <w:rPr>
          <w:b/>
        </w:rPr>
      </w:pPr>
    </w:p>
    <w:p w:rsidR="001B232E" w:rsidRDefault="007F5B6B" w:rsidP="001B232E">
      <w:pPr>
        <w:spacing w:after="0"/>
        <w:ind w:left="567" w:hanging="567"/>
      </w:pPr>
      <w:r w:rsidRPr="007F5B6B">
        <w:t>1.1</w:t>
      </w:r>
      <w:r>
        <w:tab/>
        <w:t>Th</w:t>
      </w:r>
      <w:r w:rsidR="00D151B8">
        <w:t xml:space="preserve">is report has been prepared by Two Rivers Housing’s Safety, Health and Environmental Manager with a </w:t>
      </w:r>
      <w:r>
        <w:t xml:space="preserve">purpose </w:t>
      </w:r>
      <w:r w:rsidR="00D151B8">
        <w:t xml:space="preserve">of giving </w:t>
      </w:r>
      <w:r w:rsidR="00F45C3D">
        <w:t>all stakeholders an overview of health and safety performance</w:t>
      </w:r>
      <w:r w:rsidR="0063481E">
        <w:t xml:space="preserve"> </w:t>
      </w:r>
      <w:r w:rsidR="00F45C3D">
        <w:t>during the period of 01</w:t>
      </w:r>
      <w:r w:rsidR="00F45C3D" w:rsidRPr="00F45C3D">
        <w:rPr>
          <w:vertAlign w:val="superscript"/>
        </w:rPr>
        <w:t>st</w:t>
      </w:r>
      <w:r w:rsidR="00F45C3D">
        <w:t xml:space="preserve"> April 201</w:t>
      </w:r>
      <w:r w:rsidR="007F1D3B">
        <w:t>7</w:t>
      </w:r>
      <w:r w:rsidR="00F45C3D">
        <w:t xml:space="preserve"> to 31</w:t>
      </w:r>
      <w:r w:rsidR="00F45C3D" w:rsidRPr="00F45C3D">
        <w:rPr>
          <w:vertAlign w:val="superscript"/>
        </w:rPr>
        <w:t>st</w:t>
      </w:r>
      <w:r w:rsidR="00F45C3D">
        <w:t xml:space="preserve"> March 201</w:t>
      </w:r>
      <w:r w:rsidR="007F1D3B">
        <w:t>8</w:t>
      </w:r>
      <w:r>
        <w:t>.</w:t>
      </w:r>
    </w:p>
    <w:p w:rsidR="00504B60" w:rsidRDefault="00BA2440" w:rsidP="001B232E">
      <w:pPr>
        <w:spacing w:after="0"/>
        <w:ind w:left="567" w:hanging="567"/>
      </w:pPr>
      <w:r>
        <w:t xml:space="preserve"> </w:t>
      </w:r>
    </w:p>
    <w:p w:rsidR="00CB6EDA" w:rsidRPr="00CB6EDA" w:rsidRDefault="00CB6EDA" w:rsidP="00CB6EDA">
      <w:pPr>
        <w:pStyle w:val="ListParagraph"/>
        <w:numPr>
          <w:ilvl w:val="0"/>
          <w:numId w:val="27"/>
        </w:numPr>
        <w:spacing w:after="0" w:line="240" w:lineRule="auto"/>
        <w:ind w:left="567" w:hanging="567"/>
        <w:rPr>
          <w:b/>
        </w:rPr>
      </w:pPr>
      <w:r w:rsidRPr="00CB6EDA">
        <w:rPr>
          <w:b/>
        </w:rPr>
        <w:t xml:space="preserve">General Health, Safety and Wellbeing Management Performance Scores </w:t>
      </w:r>
    </w:p>
    <w:p w:rsidR="00CB6EDA" w:rsidRDefault="00CB6EDA" w:rsidP="00CB6EDA">
      <w:pPr>
        <w:spacing w:after="0" w:line="240" w:lineRule="auto"/>
        <w:ind w:left="567" w:hanging="567"/>
      </w:pPr>
    </w:p>
    <w:p w:rsidR="00CB6EDA" w:rsidRDefault="0043125C" w:rsidP="00CB6EDA">
      <w:pPr>
        <w:spacing w:after="0" w:line="240" w:lineRule="auto"/>
        <w:ind w:left="567" w:hanging="567"/>
      </w:pPr>
      <w:r>
        <w:t>2</w:t>
      </w:r>
      <w:r w:rsidR="00CB6EDA">
        <w:t>.1</w:t>
      </w:r>
      <w:r w:rsidR="00CB6EDA">
        <w:tab/>
      </w:r>
      <w:r w:rsidR="00CB6EDA" w:rsidRPr="008347F1">
        <w:rPr>
          <w:b/>
        </w:rPr>
        <w:t>Key performance indicators</w:t>
      </w:r>
      <w:r w:rsidR="00CB6EDA">
        <w:rPr>
          <w:b/>
        </w:rPr>
        <w:t xml:space="preserve"> </w:t>
      </w:r>
      <w:r w:rsidR="00CB6EDA">
        <w:t>– The key performance indicators measured are:</w:t>
      </w:r>
    </w:p>
    <w:p w:rsidR="00CB6EDA" w:rsidRDefault="00CB6EDA" w:rsidP="00CB6EDA">
      <w:pPr>
        <w:spacing w:after="0" w:line="240" w:lineRule="auto"/>
        <w:ind w:left="567" w:hanging="567"/>
      </w:pPr>
    </w:p>
    <w:p w:rsidR="00CB6EDA" w:rsidRPr="00631D25" w:rsidRDefault="00CB6EDA" w:rsidP="00CB6EDA">
      <w:pPr>
        <w:pStyle w:val="ListParagraph"/>
        <w:numPr>
          <w:ilvl w:val="0"/>
          <w:numId w:val="26"/>
        </w:numPr>
        <w:spacing w:after="0" w:line="240" w:lineRule="auto"/>
        <w:ind w:left="851" w:hanging="284"/>
      </w:pPr>
      <w:r w:rsidRPr="00631D25">
        <w:t>Risk assessment</w:t>
      </w:r>
    </w:p>
    <w:p w:rsidR="00CB6EDA" w:rsidRPr="00631D25" w:rsidRDefault="00CB6EDA" w:rsidP="00CB6EDA">
      <w:pPr>
        <w:pStyle w:val="ListParagraph"/>
        <w:numPr>
          <w:ilvl w:val="0"/>
          <w:numId w:val="26"/>
        </w:numPr>
        <w:spacing w:after="0" w:line="240" w:lineRule="auto"/>
        <w:ind w:left="851" w:hanging="284"/>
      </w:pPr>
      <w:r w:rsidRPr="00631D25">
        <w:t>Inspection outcomes</w:t>
      </w:r>
    </w:p>
    <w:p w:rsidR="00CB6EDA" w:rsidRPr="00631D25" w:rsidRDefault="00CB6EDA" w:rsidP="00CB6EDA">
      <w:pPr>
        <w:pStyle w:val="ListParagraph"/>
        <w:numPr>
          <w:ilvl w:val="0"/>
          <w:numId w:val="26"/>
        </w:numPr>
        <w:spacing w:after="0" w:line="240" w:lineRule="auto"/>
        <w:ind w:left="851" w:hanging="284"/>
      </w:pPr>
      <w:r w:rsidRPr="00631D25">
        <w:t>Audits</w:t>
      </w:r>
    </w:p>
    <w:p w:rsidR="00CB6EDA" w:rsidRPr="00631D25" w:rsidRDefault="00CB6EDA" w:rsidP="00CB6EDA">
      <w:pPr>
        <w:pStyle w:val="ListParagraph"/>
        <w:numPr>
          <w:ilvl w:val="0"/>
          <w:numId w:val="26"/>
        </w:numPr>
        <w:spacing w:after="0" w:line="240" w:lineRule="auto"/>
        <w:ind w:left="851" w:hanging="284"/>
      </w:pPr>
      <w:r w:rsidRPr="00631D25">
        <w:t>Training</w:t>
      </w:r>
    </w:p>
    <w:p w:rsidR="00CB6EDA" w:rsidRPr="00631D25" w:rsidRDefault="00CB6EDA" w:rsidP="00CB6EDA">
      <w:pPr>
        <w:pStyle w:val="ListParagraph"/>
        <w:numPr>
          <w:ilvl w:val="0"/>
          <w:numId w:val="26"/>
        </w:numPr>
        <w:spacing w:after="0" w:line="240" w:lineRule="auto"/>
        <w:ind w:left="851" w:hanging="284"/>
      </w:pPr>
      <w:r w:rsidRPr="00631D25">
        <w:t>Action plan</w:t>
      </w:r>
    </w:p>
    <w:p w:rsidR="00CB6EDA" w:rsidRPr="00631D25" w:rsidRDefault="00CB6EDA" w:rsidP="00CB6EDA">
      <w:pPr>
        <w:pStyle w:val="ListParagraph"/>
        <w:numPr>
          <w:ilvl w:val="0"/>
          <w:numId w:val="26"/>
        </w:numPr>
        <w:spacing w:after="0" w:line="240" w:lineRule="auto"/>
        <w:ind w:left="851" w:hanging="284"/>
      </w:pPr>
      <w:r w:rsidRPr="00631D25">
        <w:t>Policy</w:t>
      </w:r>
    </w:p>
    <w:p w:rsidR="00CB6EDA" w:rsidRPr="00631D25" w:rsidRDefault="00CB6EDA" w:rsidP="00CB6EDA">
      <w:pPr>
        <w:pStyle w:val="ListParagraph"/>
        <w:numPr>
          <w:ilvl w:val="0"/>
          <w:numId w:val="26"/>
        </w:numPr>
        <w:spacing w:after="0" w:line="240" w:lineRule="auto"/>
        <w:ind w:left="851" w:hanging="284"/>
      </w:pPr>
      <w:r w:rsidRPr="00631D25">
        <w:t>Staff handbook</w:t>
      </w:r>
    </w:p>
    <w:p w:rsidR="00CB6EDA" w:rsidRDefault="00CB6EDA" w:rsidP="00CB6EDA">
      <w:pPr>
        <w:pStyle w:val="ListParagraph"/>
        <w:numPr>
          <w:ilvl w:val="0"/>
          <w:numId w:val="26"/>
        </w:numPr>
        <w:spacing w:after="0" w:line="240" w:lineRule="auto"/>
        <w:ind w:left="851" w:hanging="284"/>
      </w:pPr>
      <w:r w:rsidRPr="00631D25">
        <w:t>Equipment management</w:t>
      </w:r>
    </w:p>
    <w:p w:rsidR="00CB6EDA" w:rsidRDefault="00CB6EDA" w:rsidP="00CB6EDA">
      <w:pPr>
        <w:spacing w:after="0" w:line="240" w:lineRule="auto"/>
      </w:pPr>
    </w:p>
    <w:p w:rsidR="00CB6EDA" w:rsidRDefault="00CB6EDA" w:rsidP="00CB6EDA">
      <w:pPr>
        <w:spacing w:after="0" w:line="240" w:lineRule="auto"/>
        <w:ind w:left="567"/>
      </w:pPr>
      <w:r>
        <w:t xml:space="preserve">The </w:t>
      </w:r>
      <w:r w:rsidR="007F1D3B">
        <w:t>target has now been raised from 85% to a target of 92</w:t>
      </w:r>
      <w:r>
        <w:t xml:space="preserve">%. </w:t>
      </w:r>
    </w:p>
    <w:p w:rsidR="00CB6EDA" w:rsidRDefault="00CB6EDA" w:rsidP="00CB6EDA">
      <w:pPr>
        <w:spacing w:after="0" w:line="240" w:lineRule="auto"/>
        <w:ind w:left="567" w:hanging="567"/>
      </w:pPr>
      <w:r>
        <w:tab/>
      </w:r>
    </w:p>
    <w:p w:rsidR="00CB6EDA" w:rsidRDefault="00CB6EDA" w:rsidP="00CB6EDA">
      <w:pPr>
        <w:spacing w:after="0" w:line="240" w:lineRule="auto"/>
        <w:ind w:left="567" w:hanging="567"/>
        <w:rPr>
          <w:noProof/>
          <w:lang w:eastAsia="en-GB"/>
        </w:rPr>
      </w:pPr>
      <w:r>
        <w:tab/>
        <w:t>Graph 1 below shows the overall percentage scores taken from our safety management system for health, safety and wellbeing management during the period of Apr 201</w:t>
      </w:r>
      <w:r w:rsidR="007F1D3B">
        <w:t>5</w:t>
      </w:r>
      <w:r>
        <w:t xml:space="preserve"> to March 201</w:t>
      </w:r>
      <w:r w:rsidR="007F1D3B">
        <w:t>8</w:t>
      </w:r>
      <w:r>
        <w:t>; each line represents a financial year.</w:t>
      </w:r>
    </w:p>
    <w:p w:rsidR="00CB6EDA" w:rsidRDefault="00CB6EDA" w:rsidP="00CB6EDA">
      <w:pPr>
        <w:spacing w:after="0" w:line="240" w:lineRule="auto"/>
        <w:ind w:left="567" w:hanging="567"/>
        <w:rPr>
          <w:noProof/>
          <w:lang w:eastAsia="en-GB"/>
        </w:rPr>
      </w:pPr>
      <w:r>
        <w:rPr>
          <w:noProof/>
          <w:lang w:eastAsia="en-GB"/>
        </w:rPr>
        <w:tab/>
      </w:r>
    </w:p>
    <w:p w:rsidR="00CB6EDA" w:rsidRDefault="00CB6EDA" w:rsidP="00CB6EDA">
      <w:pPr>
        <w:spacing w:after="0" w:line="240" w:lineRule="auto"/>
        <w:ind w:left="567" w:hanging="567"/>
        <w:rPr>
          <w:noProof/>
          <w:lang w:eastAsia="en-GB"/>
        </w:rPr>
      </w:pPr>
      <w:r>
        <w:rPr>
          <w:noProof/>
          <w:lang w:eastAsia="en-GB"/>
        </w:rPr>
        <w:tab/>
        <w:t>Table 1 shows the monthly percentage scores for the 201</w:t>
      </w:r>
      <w:r w:rsidR="007F1D3B">
        <w:rPr>
          <w:noProof/>
          <w:lang w:eastAsia="en-GB"/>
        </w:rPr>
        <w:t>7</w:t>
      </w:r>
      <w:r>
        <w:rPr>
          <w:noProof/>
          <w:lang w:eastAsia="en-GB"/>
        </w:rPr>
        <w:t>/1</w:t>
      </w:r>
      <w:r w:rsidR="007F1D3B">
        <w:rPr>
          <w:noProof/>
          <w:lang w:eastAsia="en-GB"/>
        </w:rPr>
        <w:t>8</w:t>
      </w:r>
      <w:r>
        <w:rPr>
          <w:noProof/>
          <w:lang w:eastAsia="en-GB"/>
        </w:rPr>
        <w:t xml:space="preserve"> finacial year.</w:t>
      </w:r>
    </w:p>
    <w:p w:rsidR="00CB6EDA" w:rsidRDefault="00CB6EDA" w:rsidP="001B232E">
      <w:pPr>
        <w:spacing w:after="0"/>
        <w:ind w:left="567" w:hanging="567"/>
        <w:rPr>
          <w:noProof/>
          <w:lang w:eastAsia="en-GB"/>
        </w:rPr>
      </w:pPr>
    </w:p>
    <w:p w:rsidR="007F1D3B" w:rsidRDefault="007F1D3B" w:rsidP="001B232E">
      <w:pPr>
        <w:spacing w:after="0"/>
        <w:ind w:left="567" w:hanging="567"/>
      </w:pPr>
      <w:r>
        <w:rPr>
          <w:noProof/>
        </w:rPr>
        <w:drawing>
          <wp:inline distT="0" distB="0" distL="0" distR="0" wp14:anchorId="0F2AC88B" wp14:editId="35DCF812">
            <wp:extent cx="6570980" cy="260286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70980" cy="2602865"/>
                    </a:xfrm>
                    <a:prstGeom prst="rect">
                      <a:avLst/>
                    </a:prstGeom>
                  </pic:spPr>
                </pic:pic>
              </a:graphicData>
            </a:graphic>
          </wp:inline>
        </w:drawing>
      </w:r>
    </w:p>
    <w:p w:rsidR="00CB6EDA" w:rsidRDefault="00CB6EDA" w:rsidP="001B232E">
      <w:pPr>
        <w:spacing w:after="0"/>
        <w:ind w:left="567" w:hanging="567"/>
      </w:pPr>
    </w:p>
    <w:p w:rsidR="00CB6EDA" w:rsidRDefault="00CB6EDA" w:rsidP="001B232E">
      <w:pPr>
        <w:spacing w:after="0"/>
        <w:ind w:left="567" w:hanging="567"/>
      </w:pPr>
    </w:p>
    <w:p w:rsidR="001B232E" w:rsidRDefault="001B232E" w:rsidP="001B232E">
      <w:pPr>
        <w:spacing w:after="0"/>
        <w:ind w:left="567" w:hanging="567"/>
      </w:pPr>
    </w:p>
    <w:p w:rsidR="00CB6EDA" w:rsidRDefault="00CB6EDA" w:rsidP="001B232E">
      <w:pPr>
        <w:spacing w:after="0"/>
        <w:ind w:left="567" w:hanging="567"/>
      </w:pPr>
    </w:p>
    <w:p w:rsidR="00CB6EDA" w:rsidRDefault="00CB6EDA" w:rsidP="001B232E">
      <w:pPr>
        <w:spacing w:after="0"/>
        <w:ind w:left="567" w:hanging="567"/>
      </w:pPr>
    </w:p>
    <w:p w:rsidR="00943669" w:rsidRPr="001B232E" w:rsidRDefault="00943669" w:rsidP="0043125C">
      <w:pPr>
        <w:pStyle w:val="ListParagraph"/>
        <w:numPr>
          <w:ilvl w:val="0"/>
          <w:numId w:val="28"/>
        </w:numPr>
        <w:spacing w:after="0"/>
        <w:ind w:left="567" w:hanging="567"/>
      </w:pPr>
      <w:r w:rsidRPr="00943669">
        <w:rPr>
          <w:b/>
        </w:rPr>
        <w:lastRenderedPageBreak/>
        <w:t xml:space="preserve">Accident Management </w:t>
      </w:r>
    </w:p>
    <w:p w:rsidR="001B232E" w:rsidRPr="00943669" w:rsidRDefault="001B232E" w:rsidP="001B232E">
      <w:pPr>
        <w:spacing w:after="0"/>
      </w:pPr>
    </w:p>
    <w:p w:rsidR="0043125C" w:rsidRDefault="0063481E" w:rsidP="0043125C">
      <w:pPr>
        <w:spacing w:after="0" w:line="240" w:lineRule="auto"/>
        <w:ind w:left="567" w:hanging="567"/>
      </w:pPr>
      <w:r>
        <w:t>3</w:t>
      </w:r>
      <w:r w:rsidR="00943669" w:rsidRPr="0019692C">
        <w:t>.1</w:t>
      </w:r>
      <w:r w:rsidR="00943669">
        <w:t xml:space="preserve"> </w:t>
      </w:r>
      <w:r w:rsidR="00B47653">
        <w:tab/>
      </w:r>
      <w:r w:rsidR="0043125C">
        <w:t>The graph below shows the overall accident statistics across the TRH group during the period of April 201</w:t>
      </w:r>
      <w:r w:rsidR="007F1D3B">
        <w:t>5</w:t>
      </w:r>
      <w:r w:rsidR="0043125C">
        <w:t xml:space="preserve"> to March 201</w:t>
      </w:r>
      <w:r w:rsidR="007F1D3B">
        <w:t>8</w:t>
      </w:r>
      <w:r w:rsidR="0043125C">
        <w:t>. These are broken down into their respective financial years.</w:t>
      </w:r>
    </w:p>
    <w:p w:rsidR="00943669" w:rsidRDefault="007F1D3B" w:rsidP="0043125C">
      <w:pPr>
        <w:spacing w:after="0"/>
        <w:ind w:left="567" w:hanging="567"/>
        <w:jc w:val="center"/>
      </w:pPr>
      <w:r>
        <w:rPr>
          <w:noProof/>
        </w:rPr>
        <w:drawing>
          <wp:anchor distT="0" distB="0" distL="114300" distR="114300" simplePos="0" relativeHeight="251659264" behindDoc="1" locked="0" layoutInCell="1" allowOverlap="1" wp14:anchorId="2A5EBA02">
            <wp:simplePos x="0" y="0"/>
            <wp:positionH relativeFrom="column">
              <wp:posOffset>421640</wp:posOffset>
            </wp:positionH>
            <wp:positionV relativeFrom="paragraph">
              <wp:posOffset>86995</wp:posOffset>
            </wp:positionV>
            <wp:extent cx="5731510" cy="3260828"/>
            <wp:effectExtent l="0" t="0" r="2540" b="0"/>
            <wp:wrapTight wrapText="bothSides">
              <wp:wrapPolygon edited="0">
                <wp:start x="0" y="0"/>
                <wp:lineTo x="0" y="21453"/>
                <wp:lineTo x="21538" y="21453"/>
                <wp:lineTo x="21538" y="0"/>
                <wp:lineTo x="0" y="0"/>
              </wp:wrapPolygon>
            </wp:wrapTight>
            <wp:docPr id="2" name="Picture 2" descr="cid:image001.png@01D3D637.750E6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D637.750E67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32608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669" w:rsidRDefault="00943669" w:rsidP="001B232E">
      <w:pPr>
        <w:spacing w:after="0"/>
        <w:jc w:val="center"/>
        <w:rPr>
          <w:b/>
          <w:highlight w:val="yellow"/>
        </w:rPr>
      </w:pPr>
    </w:p>
    <w:p w:rsidR="00D151B8" w:rsidRDefault="00D151B8" w:rsidP="001B232E">
      <w:pPr>
        <w:spacing w:after="0"/>
        <w:ind w:left="567" w:hanging="567"/>
      </w:pPr>
    </w:p>
    <w:p w:rsidR="00D151B8" w:rsidRDefault="00D151B8" w:rsidP="001B232E">
      <w:pPr>
        <w:spacing w:after="0"/>
        <w:ind w:left="567" w:hanging="567"/>
      </w:pPr>
    </w:p>
    <w:p w:rsidR="004E3BCC" w:rsidRDefault="004E3BCC" w:rsidP="001B232E">
      <w:pPr>
        <w:spacing w:after="0"/>
        <w:ind w:left="567" w:hanging="567"/>
      </w:pPr>
    </w:p>
    <w:p w:rsidR="007F1D3B" w:rsidRDefault="007F1D3B" w:rsidP="001B232E">
      <w:pPr>
        <w:spacing w:after="0"/>
        <w:ind w:left="567" w:hanging="567"/>
      </w:pPr>
    </w:p>
    <w:p w:rsidR="007F1D3B" w:rsidRDefault="007F1D3B" w:rsidP="001B232E">
      <w:pPr>
        <w:spacing w:after="0"/>
        <w:ind w:left="567" w:hanging="567"/>
      </w:pPr>
    </w:p>
    <w:p w:rsidR="007F1D3B" w:rsidRDefault="007F1D3B" w:rsidP="001B232E">
      <w:pPr>
        <w:spacing w:after="0"/>
        <w:ind w:left="567" w:hanging="567"/>
      </w:pPr>
    </w:p>
    <w:p w:rsidR="007F1D3B" w:rsidRDefault="007F1D3B" w:rsidP="001B232E">
      <w:pPr>
        <w:spacing w:after="0"/>
        <w:ind w:left="567" w:hanging="567"/>
      </w:pPr>
    </w:p>
    <w:p w:rsidR="007F1D3B" w:rsidRDefault="007F1D3B" w:rsidP="001B232E">
      <w:pPr>
        <w:spacing w:after="0"/>
        <w:ind w:left="567" w:hanging="567"/>
      </w:pPr>
    </w:p>
    <w:p w:rsidR="007F1D3B" w:rsidRDefault="007F1D3B" w:rsidP="001B232E">
      <w:pPr>
        <w:spacing w:after="0"/>
        <w:ind w:left="567" w:hanging="567"/>
      </w:pPr>
    </w:p>
    <w:p w:rsidR="007F1D3B" w:rsidRDefault="007F1D3B" w:rsidP="001B232E">
      <w:pPr>
        <w:spacing w:after="0"/>
        <w:ind w:left="567" w:hanging="567"/>
      </w:pPr>
    </w:p>
    <w:p w:rsidR="007F1D3B" w:rsidRDefault="007F1D3B" w:rsidP="001B232E">
      <w:pPr>
        <w:spacing w:after="0"/>
        <w:ind w:left="567" w:hanging="567"/>
      </w:pPr>
    </w:p>
    <w:p w:rsidR="007F1D3B" w:rsidRDefault="007F1D3B" w:rsidP="001B232E">
      <w:pPr>
        <w:spacing w:after="0"/>
        <w:ind w:left="567" w:hanging="567"/>
      </w:pPr>
    </w:p>
    <w:p w:rsidR="007F1D3B" w:rsidRDefault="007F1D3B" w:rsidP="001B232E">
      <w:pPr>
        <w:spacing w:after="0"/>
        <w:ind w:left="567" w:hanging="567"/>
      </w:pPr>
    </w:p>
    <w:p w:rsidR="007F1D3B" w:rsidRDefault="007F1D3B" w:rsidP="001B232E">
      <w:pPr>
        <w:spacing w:after="0"/>
        <w:ind w:left="567" w:hanging="567"/>
      </w:pPr>
    </w:p>
    <w:p w:rsidR="007F1D3B" w:rsidRDefault="007F1D3B" w:rsidP="001B232E">
      <w:pPr>
        <w:spacing w:after="0"/>
        <w:ind w:left="567" w:hanging="567"/>
      </w:pPr>
    </w:p>
    <w:p w:rsidR="007F1D3B" w:rsidRDefault="007F1D3B" w:rsidP="001B232E">
      <w:pPr>
        <w:spacing w:after="0"/>
        <w:ind w:left="567" w:hanging="567"/>
      </w:pPr>
    </w:p>
    <w:p w:rsidR="00844A75" w:rsidRPr="00844A75" w:rsidRDefault="00844A75" w:rsidP="00844A75">
      <w:pPr>
        <w:pStyle w:val="ListParagraph"/>
        <w:numPr>
          <w:ilvl w:val="0"/>
          <w:numId w:val="28"/>
        </w:numPr>
        <w:spacing w:after="0"/>
        <w:ind w:left="567" w:hanging="567"/>
      </w:pPr>
      <w:r w:rsidRPr="00844A75">
        <w:rPr>
          <w:b/>
          <w:bCs/>
        </w:rPr>
        <w:t>Gas</w:t>
      </w:r>
      <w:r>
        <w:rPr>
          <w:b/>
          <w:bCs/>
        </w:rPr>
        <w:t xml:space="preserve"> Servicing</w:t>
      </w:r>
      <w:r w:rsidRPr="00844A75">
        <w:rPr>
          <w:b/>
          <w:bCs/>
        </w:rPr>
        <w:t xml:space="preserve"> </w:t>
      </w:r>
    </w:p>
    <w:p w:rsidR="00844A75" w:rsidRPr="00844A75" w:rsidRDefault="00844A75" w:rsidP="00844A75">
      <w:pPr>
        <w:spacing w:after="0"/>
      </w:pPr>
    </w:p>
    <w:p w:rsidR="007F1D3B" w:rsidRDefault="007F1D3B" w:rsidP="007F1D3B">
      <w:pPr>
        <w:ind w:left="567" w:hanging="567"/>
        <w:jc w:val="both"/>
      </w:pPr>
      <w:r>
        <w:t>4</w:t>
      </w:r>
      <w:r w:rsidR="00844A75">
        <w:t>.1</w:t>
      </w:r>
      <w:r w:rsidR="00844A75">
        <w:tab/>
      </w:r>
      <w:r>
        <w:t>As at 31</w:t>
      </w:r>
      <w:r>
        <w:rPr>
          <w:vertAlign w:val="superscript"/>
        </w:rPr>
        <w:t>st</w:t>
      </w:r>
      <w:r>
        <w:t xml:space="preserve"> March 2018, we have achieved 99.99% month-end compliance. The 100% target has been achieved 7 out of 12 months during 2017-18, we have achieved 99.7% and above for the other 5 months. This demonstrates a consistently high level of compliance to gas servicing. </w:t>
      </w:r>
    </w:p>
    <w:p w:rsidR="007F1D3B" w:rsidRDefault="007F1D3B" w:rsidP="007F1D3B">
      <w:pPr>
        <w:ind w:left="567"/>
        <w:jc w:val="both"/>
      </w:pPr>
      <w:r>
        <w:t xml:space="preserve">RSM completed a gas service audit in October 2017. The external audit concluded that </w:t>
      </w:r>
      <w:r>
        <w:rPr>
          <w:i/>
          <w:iCs/>
        </w:rPr>
        <w:t xml:space="preserve">“the Board can take substantial assurance that the controls upon which the organisation relies to manage the identified risk(s) are suitably designed, consistently applied and operating effectively.” </w:t>
      </w:r>
      <w:r>
        <w:t> </w:t>
      </w:r>
    </w:p>
    <w:p w:rsidR="00844A75" w:rsidRPr="00844A75" w:rsidRDefault="00844A75" w:rsidP="00844A75">
      <w:pPr>
        <w:pStyle w:val="ListParagraph"/>
        <w:numPr>
          <w:ilvl w:val="0"/>
          <w:numId w:val="28"/>
        </w:numPr>
        <w:spacing w:after="0"/>
        <w:ind w:left="567" w:hanging="567"/>
      </w:pPr>
      <w:r w:rsidRPr="00844A75">
        <w:rPr>
          <w:b/>
          <w:bCs/>
        </w:rPr>
        <w:t>Solid Fuel Servicing</w:t>
      </w:r>
    </w:p>
    <w:p w:rsidR="00844A75" w:rsidRPr="00844A75" w:rsidRDefault="00844A75" w:rsidP="00844A75">
      <w:pPr>
        <w:spacing w:after="0"/>
      </w:pPr>
    </w:p>
    <w:p w:rsidR="00844A75" w:rsidRDefault="007F1D3B" w:rsidP="00844A75">
      <w:pPr>
        <w:spacing w:after="0"/>
        <w:ind w:left="567" w:hanging="567"/>
      </w:pPr>
      <w:r>
        <w:rPr>
          <w:bCs/>
        </w:rPr>
        <w:t>5</w:t>
      </w:r>
      <w:r w:rsidR="00844A75" w:rsidRPr="00844A75">
        <w:rPr>
          <w:bCs/>
        </w:rPr>
        <w:t>.1</w:t>
      </w:r>
      <w:r w:rsidR="00844A75">
        <w:rPr>
          <w:b/>
          <w:bCs/>
        </w:rPr>
        <w:tab/>
      </w:r>
      <w:r>
        <w:t>During 2017-18, we achieved an average month-end compliance for this area of 98.2%. Unfortunately, performance was at its lowest on 31</w:t>
      </w:r>
      <w:r>
        <w:rPr>
          <w:vertAlign w:val="superscript"/>
        </w:rPr>
        <w:t>st</w:t>
      </w:r>
      <w:r>
        <w:t xml:space="preserve"> March which was reported to be 90.43%. The current level of performance has been formally addressed with the Contractor and assurance received that this will receive PH Jones’ utmost attention. PH Jones have been instructed to restore compliance by 30</w:t>
      </w:r>
      <w:r>
        <w:rPr>
          <w:vertAlign w:val="superscript"/>
        </w:rPr>
        <w:t>th</w:t>
      </w:r>
      <w:r>
        <w:t xml:space="preserve"> April 2018 – target 99.5%.  </w:t>
      </w:r>
    </w:p>
    <w:p w:rsidR="00844A75" w:rsidRDefault="00844A75" w:rsidP="00844A75">
      <w:pPr>
        <w:spacing w:after="0"/>
        <w:ind w:left="567" w:hanging="567"/>
      </w:pPr>
    </w:p>
    <w:p w:rsidR="007F1D3B" w:rsidRDefault="007F1D3B" w:rsidP="00844A75">
      <w:pPr>
        <w:spacing w:after="0"/>
        <w:ind w:left="567" w:hanging="567"/>
      </w:pPr>
    </w:p>
    <w:p w:rsidR="00306465" w:rsidRDefault="00306465" w:rsidP="00844A75">
      <w:pPr>
        <w:spacing w:after="0"/>
        <w:ind w:left="567" w:hanging="567"/>
      </w:pPr>
    </w:p>
    <w:p w:rsidR="00844A75" w:rsidRDefault="00844A75" w:rsidP="00844A75">
      <w:pPr>
        <w:spacing w:after="0"/>
        <w:ind w:left="567" w:hanging="567"/>
        <w:rPr>
          <w:bCs/>
        </w:rPr>
      </w:pPr>
    </w:p>
    <w:p w:rsidR="007F1D3B" w:rsidRDefault="007F1D3B" w:rsidP="00844A75">
      <w:pPr>
        <w:spacing w:after="0"/>
        <w:ind w:left="567" w:hanging="567"/>
        <w:rPr>
          <w:bCs/>
        </w:rPr>
      </w:pPr>
    </w:p>
    <w:p w:rsidR="007F1D3B" w:rsidRDefault="007F1D3B" w:rsidP="00844A75">
      <w:pPr>
        <w:spacing w:after="0"/>
        <w:ind w:left="567" w:hanging="567"/>
        <w:rPr>
          <w:bCs/>
        </w:rPr>
      </w:pPr>
    </w:p>
    <w:p w:rsidR="00844A75" w:rsidRDefault="00844A75" w:rsidP="00844A75">
      <w:pPr>
        <w:pStyle w:val="ListParagraph"/>
        <w:numPr>
          <w:ilvl w:val="0"/>
          <w:numId w:val="28"/>
        </w:numPr>
        <w:spacing w:after="0"/>
        <w:ind w:left="567" w:hanging="567"/>
      </w:pPr>
      <w:r w:rsidRPr="00844A75">
        <w:rPr>
          <w:b/>
          <w:bCs/>
        </w:rPr>
        <w:lastRenderedPageBreak/>
        <w:t xml:space="preserve">Legionella Management  </w:t>
      </w:r>
    </w:p>
    <w:p w:rsidR="00844A75" w:rsidRDefault="00844A75" w:rsidP="00844A75">
      <w:pPr>
        <w:spacing w:after="0"/>
        <w:ind w:left="567" w:hanging="567"/>
        <w:rPr>
          <w:b/>
          <w:bCs/>
        </w:rPr>
      </w:pPr>
      <w:r>
        <w:rPr>
          <w:b/>
          <w:bCs/>
        </w:rPr>
        <w:tab/>
      </w:r>
    </w:p>
    <w:p w:rsidR="007F1D3B" w:rsidRDefault="007F1D3B" w:rsidP="007F1D3B">
      <w:pPr>
        <w:ind w:left="567" w:hanging="567"/>
        <w:jc w:val="both"/>
      </w:pPr>
      <w:r>
        <w:rPr>
          <w:bCs/>
        </w:rPr>
        <w:t>6</w:t>
      </w:r>
      <w:r w:rsidR="00844A75" w:rsidRPr="00844A75">
        <w:rPr>
          <w:bCs/>
        </w:rPr>
        <w:t>.1</w:t>
      </w:r>
      <w:r w:rsidR="00844A75">
        <w:rPr>
          <w:b/>
          <w:bCs/>
        </w:rPr>
        <w:tab/>
      </w:r>
      <w:r>
        <w:t>Recent water samples of communal centres show no areas of concern. Planned Maintenance are continuing to review mandatory testing of rainwater harvesting systems in collaboration with Integrated Water Services. Two Rivers Housing are continuing to act in a responsive manner where issues arise until an economical and justified servicing and maintenance regime is achieved.</w:t>
      </w:r>
    </w:p>
    <w:p w:rsidR="00844A75" w:rsidRPr="00844A75" w:rsidRDefault="00844A75" w:rsidP="00844A75">
      <w:pPr>
        <w:pStyle w:val="ListParagraph"/>
        <w:numPr>
          <w:ilvl w:val="0"/>
          <w:numId w:val="28"/>
        </w:numPr>
        <w:spacing w:after="0"/>
        <w:ind w:left="567" w:hanging="567"/>
        <w:rPr>
          <w:b/>
        </w:rPr>
      </w:pPr>
      <w:r w:rsidRPr="00844A75">
        <w:rPr>
          <w:b/>
        </w:rPr>
        <w:t xml:space="preserve">Asbestos management </w:t>
      </w:r>
    </w:p>
    <w:p w:rsidR="00844A75" w:rsidRDefault="00844A75" w:rsidP="00844A75">
      <w:pPr>
        <w:spacing w:after="0"/>
        <w:ind w:left="567" w:hanging="567"/>
        <w:rPr>
          <w:b/>
        </w:rPr>
      </w:pPr>
    </w:p>
    <w:p w:rsidR="007F1D3B" w:rsidRDefault="007F1D3B" w:rsidP="007F1D3B">
      <w:pPr>
        <w:spacing w:after="0"/>
        <w:ind w:left="567" w:hanging="567"/>
      </w:pPr>
      <w:r>
        <w:t>7</w:t>
      </w:r>
      <w:r w:rsidR="00844A75" w:rsidRPr="00844A75">
        <w:t>.1</w:t>
      </w:r>
      <w:r w:rsidR="00844A75">
        <w:rPr>
          <w:b/>
        </w:rPr>
        <w:tab/>
      </w:r>
      <w:r w:rsidRPr="009D0174">
        <w:t xml:space="preserve">Surveys for both planned maintenance, responsive and void works are carried out ahead of the programme and made available to either the contractor or PropertyPlus to allow for safe planning. If there is a requirement to remove any </w:t>
      </w:r>
      <w:proofErr w:type="gramStart"/>
      <w:r w:rsidRPr="009D0174">
        <w:t>asbestos</w:t>
      </w:r>
      <w:proofErr w:type="gramEnd"/>
      <w:r w:rsidRPr="009D0174">
        <w:t xml:space="preserve"> then this is arranged through TRH and completed prior to the commencement of work. Asbestos condition inspections of the communal areas are carried out annually, we have completed all 62</w:t>
      </w:r>
      <w:r>
        <w:t xml:space="preserve"> of the </w:t>
      </w:r>
      <w:r w:rsidRPr="009D0174">
        <w:t>communal re-inspections. The latest re-inspection surveys confirmed there has been no condition change; therefore, no action is required. Asbestos condition inspections for individual dwellings of the housing stock are carried out during stock condition surveys or at void stage. To date there have been no areas of concern.</w:t>
      </w:r>
    </w:p>
    <w:p w:rsidR="007F1D3B" w:rsidRDefault="007F1D3B" w:rsidP="00306465">
      <w:pPr>
        <w:spacing w:after="0"/>
        <w:ind w:left="567" w:hanging="567"/>
      </w:pPr>
    </w:p>
    <w:p w:rsidR="00844A75" w:rsidRPr="00953693" w:rsidRDefault="007F1D3B" w:rsidP="00953693">
      <w:pPr>
        <w:pStyle w:val="ListParagraph"/>
        <w:numPr>
          <w:ilvl w:val="0"/>
          <w:numId w:val="28"/>
        </w:numPr>
        <w:spacing w:after="0"/>
        <w:ind w:left="567" w:hanging="567"/>
        <w:rPr>
          <w:b/>
        </w:rPr>
      </w:pPr>
      <w:r>
        <w:rPr>
          <w:b/>
        </w:rPr>
        <w:t>F</w:t>
      </w:r>
      <w:r w:rsidR="00844A75" w:rsidRPr="00953693">
        <w:rPr>
          <w:b/>
        </w:rPr>
        <w:t>ire management</w:t>
      </w:r>
    </w:p>
    <w:p w:rsidR="00844A75" w:rsidRDefault="00844A75" w:rsidP="00844A75">
      <w:pPr>
        <w:spacing w:after="0"/>
        <w:ind w:left="567" w:hanging="567"/>
        <w:rPr>
          <w:b/>
        </w:rPr>
      </w:pPr>
    </w:p>
    <w:p w:rsidR="007F1D3B" w:rsidRDefault="007F1D3B" w:rsidP="00830592">
      <w:pPr>
        <w:pStyle w:val="ListParagraph"/>
        <w:numPr>
          <w:ilvl w:val="1"/>
          <w:numId w:val="33"/>
        </w:numPr>
        <w:spacing w:after="0"/>
        <w:ind w:left="567" w:hanging="567"/>
        <w:jc w:val="both"/>
      </w:pPr>
      <w:r w:rsidRPr="00830592">
        <w:rPr>
          <w:b/>
        </w:rPr>
        <w:t>Fire doors</w:t>
      </w:r>
      <w:r w:rsidRPr="00E673F7">
        <w:t xml:space="preserve"> </w:t>
      </w:r>
      <w:r>
        <w:t>–</w:t>
      </w:r>
      <w:r w:rsidRPr="00830592">
        <w:rPr>
          <w:b/>
        </w:rPr>
        <w:t xml:space="preserve"> </w:t>
      </w:r>
      <w:r>
        <w:t>The fire door inspection programme has currently fallen behind by one month with 70% completed so far, we aim to complete the remaining 30% by end of May</w:t>
      </w:r>
      <w:r w:rsidRPr="003C0DA0">
        <w:t xml:space="preserve">. </w:t>
      </w:r>
      <w:r>
        <w:t xml:space="preserve"> </w:t>
      </w:r>
    </w:p>
    <w:p w:rsidR="007F1D3B" w:rsidRDefault="007F1D3B" w:rsidP="007F1D3B">
      <w:pPr>
        <w:spacing w:after="0"/>
        <w:jc w:val="both"/>
      </w:pPr>
    </w:p>
    <w:p w:rsidR="00830592" w:rsidRDefault="007F1D3B" w:rsidP="00830592">
      <w:pPr>
        <w:pStyle w:val="ListParagraph"/>
        <w:numPr>
          <w:ilvl w:val="1"/>
          <w:numId w:val="33"/>
        </w:numPr>
        <w:spacing w:after="0"/>
        <w:ind w:left="567" w:hanging="567"/>
        <w:jc w:val="both"/>
      </w:pPr>
      <w:r w:rsidRPr="007F1D3B">
        <w:rPr>
          <w:b/>
        </w:rPr>
        <w:t>Fire risk assessments (FRA’s)</w:t>
      </w:r>
      <w:r>
        <w:t xml:space="preserve"> – Our current fire risk assessments are now coming up to their 4-year anniversary and to comply with the Regulatory Reform (Fire Safety) Order 2005 we are required to have all fire risk assessments rewritten. We have recently procured a new fire safety consultancy to undertake this work which will be smoothed out over the 2018/19 financial year.</w:t>
      </w:r>
    </w:p>
    <w:p w:rsidR="00830592" w:rsidRPr="00830592" w:rsidRDefault="00830592" w:rsidP="00830592">
      <w:pPr>
        <w:pStyle w:val="ListParagraph"/>
        <w:rPr>
          <w:rFonts w:eastAsia="Times New Roman"/>
          <w:b/>
        </w:rPr>
      </w:pPr>
    </w:p>
    <w:p w:rsidR="00830592" w:rsidRDefault="007F1D3B" w:rsidP="00830592">
      <w:pPr>
        <w:pStyle w:val="ListParagraph"/>
        <w:numPr>
          <w:ilvl w:val="1"/>
          <w:numId w:val="33"/>
        </w:numPr>
        <w:spacing w:after="0"/>
        <w:ind w:left="567" w:hanging="567"/>
        <w:jc w:val="both"/>
      </w:pPr>
      <w:r w:rsidRPr="00830592">
        <w:rPr>
          <w:rFonts w:eastAsia="Times New Roman"/>
          <w:b/>
        </w:rPr>
        <w:t>Fire asset servicing (alarms, extinguishers etc)</w:t>
      </w:r>
      <w:r w:rsidRPr="00830592">
        <w:rPr>
          <w:rFonts w:eastAsia="Times New Roman"/>
        </w:rPr>
        <w:t xml:space="preserve"> – </w:t>
      </w:r>
      <w:r>
        <w:t>Two Rivers Housing has completed the procurement of the Fire Servicing and Maintenance Contract. A&amp;E Fire and Security have been appointed to undertake the 3-year contract with provision for a two-year extension subject to performance. A&amp;E Fire &amp; Security commenced the contract on 14</w:t>
      </w:r>
      <w:r w:rsidRPr="00830592">
        <w:rPr>
          <w:vertAlign w:val="superscript"/>
        </w:rPr>
        <w:t>th</w:t>
      </w:r>
      <w:r>
        <w:t xml:space="preserve"> March and ended the financial year with 100% compliance.  </w:t>
      </w:r>
    </w:p>
    <w:p w:rsidR="00830592" w:rsidRPr="00830592" w:rsidRDefault="00830592" w:rsidP="00830592">
      <w:pPr>
        <w:pStyle w:val="ListParagraph"/>
        <w:rPr>
          <w:b/>
        </w:rPr>
      </w:pPr>
    </w:p>
    <w:p w:rsidR="00830592" w:rsidRDefault="00830592" w:rsidP="00830592">
      <w:pPr>
        <w:pStyle w:val="ListParagraph"/>
        <w:numPr>
          <w:ilvl w:val="1"/>
          <w:numId w:val="33"/>
        </w:numPr>
        <w:spacing w:after="0"/>
        <w:ind w:left="567" w:hanging="567"/>
        <w:jc w:val="both"/>
      </w:pPr>
      <w:r w:rsidRPr="00830592">
        <w:rPr>
          <w:b/>
        </w:rPr>
        <w:t xml:space="preserve">Fire alarm remote monitoring </w:t>
      </w:r>
      <w:r>
        <w:t>–</w:t>
      </w:r>
      <w:r w:rsidRPr="00B95085">
        <w:t xml:space="preserve"> </w:t>
      </w:r>
      <w:r>
        <w:t>There are currently 31 addressable fire alarm systems within the housing stock. The Planned Maintenance Team are currently reviewing the process should an alarm be activated, there are two options open to us which are:</w:t>
      </w:r>
    </w:p>
    <w:p w:rsidR="00830592" w:rsidRDefault="00830592" w:rsidP="00830592">
      <w:pPr>
        <w:spacing w:after="0"/>
        <w:ind w:left="709" w:hanging="709"/>
        <w:jc w:val="both"/>
      </w:pPr>
    </w:p>
    <w:p w:rsidR="00830592" w:rsidRDefault="00830592" w:rsidP="00830592">
      <w:pPr>
        <w:pStyle w:val="ListParagraph"/>
        <w:numPr>
          <w:ilvl w:val="0"/>
          <w:numId w:val="35"/>
        </w:numPr>
        <w:spacing w:after="0"/>
        <w:ind w:left="1134" w:hanging="425"/>
        <w:jc w:val="both"/>
      </w:pPr>
      <w:r w:rsidRPr="00B64D44">
        <w:rPr>
          <w:u w:val="single"/>
        </w:rPr>
        <w:t xml:space="preserve">Option 1 </w:t>
      </w:r>
      <w:r>
        <w:t>– Remote monitoring by a 3</w:t>
      </w:r>
      <w:r w:rsidRPr="00086683">
        <w:rPr>
          <w:vertAlign w:val="superscript"/>
        </w:rPr>
        <w:t>rd</w:t>
      </w:r>
      <w:r>
        <w:t xml:space="preserve"> party call centre which will notify Fire and Rescue  </w:t>
      </w:r>
    </w:p>
    <w:p w:rsidR="00830592" w:rsidRDefault="00830592" w:rsidP="00830592">
      <w:pPr>
        <w:pStyle w:val="ListParagraph"/>
        <w:numPr>
          <w:ilvl w:val="0"/>
          <w:numId w:val="35"/>
        </w:numPr>
        <w:spacing w:after="0"/>
        <w:ind w:left="1134" w:hanging="414"/>
        <w:jc w:val="both"/>
      </w:pPr>
      <w:r w:rsidRPr="00B64D44">
        <w:rPr>
          <w:u w:val="single"/>
        </w:rPr>
        <w:t>Option 2</w:t>
      </w:r>
      <w:r>
        <w:t xml:space="preserve"> – When the alarm sounds it will notify a chosen internal contact to respond </w:t>
      </w:r>
    </w:p>
    <w:p w:rsidR="00830592" w:rsidRDefault="00830592" w:rsidP="00830592">
      <w:pPr>
        <w:spacing w:after="0"/>
        <w:ind w:left="360" w:hanging="360"/>
        <w:jc w:val="both"/>
      </w:pPr>
    </w:p>
    <w:p w:rsidR="00830592" w:rsidRDefault="00830592" w:rsidP="00830592">
      <w:pPr>
        <w:spacing w:after="0"/>
        <w:ind w:left="567"/>
        <w:jc w:val="both"/>
      </w:pPr>
      <w:r>
        <w:t xml:space="preserve">We are currently reviewing each system to ensure that they are compatible for remote monitoring and, once completed, a programme will be </w:t>
      </w:r>
      <w:proofErr w:type="gramStart"/>
      <w:r>
        <w:t>developed</w:t>
      </w:r>
      <w:proofErr w:type="gramEnd"/>
      <w:r>
        <w:t xml:space="preserve"> and the works completed.</w:t>
      </w:r>
    </w:p>
    <w:p w:rsidR="00844A75" w:rsidRDefault="00830592" w:rsidP="00830592">
      <w:pPr>
        <w:spacing w:after="0"/>
        <w:jc w:val="both"/>
      </w:pPr>
      <w:r>
        <w:lastRenderedPageBreak/>
        <w:t xml:space="preserve"> </w:t>
      </w:r>
    </w:p>
    <w:p w:rsidR="00953693" w:rsidRPr="00953693" w:rsidRDefault="00844A75" w:rsidP="007F1D3B">
      <w:pPr>
        <w:pStyle w:val="ListParagraph"/>
        <w:numPr>
          <w:ilvl w:val="0"/>
          <w:numId w:val="33"/>
        </w:numPr>
        <w:spacing w:after="0"/>
        <w:ind w:left="567" w:hanging="567"/>
      </w:pPr>
      <w:r w:rsidRPr="00953693">
        <w:rPr>
          <w:b/>
        </w:rPr>
        <w:t>Electrical installation condition reports</w:t>
      </w:r>
    </w:p>
    <w:p w:rsidR="00953693" w:rsidRDefault="00953693" w:rsidP="00953693">
      <w:pPr>
        <w:spacing w:after="0"/>
        <w:rPr>
          <w:b/>
        </w:rPr>
      </w:pPr>
    </w:p>
    <w:p w:rsidR="00844A75" w:rsidRDefault="00830592" w:rsidP="00830592">
      <w:pPr>
        <w:pStyle w:val="ListParagraph"/>
        <w:numPr>
          <w:ilvl w:val="1"/>
          <w:numId w:val="33"/>
        </w:numPr>
        <w:spacing w:after="0"/>
        <w:ind w:left="567" w:hanging="567"/>
      </w:pPr>
      <w:r>
        <w:t>286 properties were due an EICR within the 2017/18 financial year. We have successfully completed 246 properties with the remaining 40 presenting themselves as no access. These 40 units are being pursued via our no access procedure and are either at stage 1 or 2 within the procedure meaning further attempts will be made to gain access before the properties are passed back to housing management for action. There is no legislative requirement for TRH to undertake testing on a 5-yearly basis, although it is recognised within the industry as best practice.</w:t>
      </w:r>
    </w:p>
    <w:p w:rsidR="00844A75" w:rsidRPr="00844A75" w:rsidRDefault="00844A75" w:rsidP="00844A75">
      <w:pPr>
        <w:spacing w:after="0"/>
        <w:rPr>
          <w:b/>
        </w:rPr>
      </w:pPr>
    </w:p>
    <w:p w:rsidR="00D10266" w:rsidRDefault="00D10266" w:rsidP="007F1D3B">
      <w:pPr>
        <w:pStyle w:val="ListParagraph"/>
        <w:numPr>
          <w:ilvl w:val="0"/>
          <w:numId w:val="33"/>
        </w:numPr>
        <w:spacing w:after="0"/>
        <w:ind w:left="567" w:hanging="567"/>
        <w:rPr>
          <w:b/>
        </w:rPr>
      </w:pPr>
      <w:r w:rsidRPr="007738D8">
        <w:rPr>
          <w:b/>
        </w:rPr>
        <w:t>Royal Society for the Prevention of Accident (RoSPA) 201</w:t>
      </w:r>
      <w:r w:rsidR="00830592">
        <w:rPr>
          <w:b/>
        </w:rPr>
        <w:t>8</w:t>
      </w:r>
      <w:r w:rsidRPr="007738D8">
        <w:rPr>
          <w:b/>
        </w:rPr>
        <w:t xml:space="preserve"> </w:t>
      </w:r>
      <w:r>
        <w:rPr>
          <w:b/>
        </w:rPr>
        <w:t>A</w:t>
      </w:r>
      <w:r w:rsidRPr="007738D8">
        <w:rPr>
          <w:b/>
        </w:rPr>
        <w:t xml:space="preserve">wards </w:t>
      </w:r>
    </w:p>
    <w:p w:rsidR="001B232E" w:rsidRDefault="0043125C" w:rsidP="001B232E">
      <w:pPr>
        <w:spacing w:after="0"/>
        <w:ind w:left="567" w:hanging="567"/>
      </w:pPr>
      <w:r>
        <w:rPr>
          <w:rFonts w:ascii="Comic Sans MS" w:hAnsi="Comic Sans MS"/>
          <w:noProof/>
          <w:lang w:eastAsia="en-GB"/>
        </w:rPr>
        <w:drawing>
          <wp:anchor distT="0" distB="0" distL="114300" distR="114300" simplePos="0" relativeHeight="251658240" behindDoc="1" locked="0" layoutInCell="1" allowOverlap="1" wp14:anchorId="09A066E3" wp14:editId="6997D539">
            <wp:simplePos x="0" y="0"/>
            <wp:positionH relativeFrom="column">
              <wp:posOffset>5688330</wp:posOffset>
            </wp:positionH>
            <wp:positionV relativeFrom="paragraph">
              <wp:posOffset>111760</wp:posOffset>
            </wp:positionV>
            <wp:extent cx="714375" cy="1103630"/>
            <wp:effectExtent l="0" t="0" r="9525" b="1270"/>
            <wp:wrapTight wrapText="bothSides">
              <wp:wrapPolygon edited="0">
                <wp:start x="0" y="0"/>
                <wp:lineTo x="0" y="21252"/>
                <wp:lineTo x="21312" y="21252"/>
                <wp:lineTo x="2131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2rh.org.uk/hsnoticeboard/rospa17.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4375" cy="1103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F26" w:rsidRDefault="00953693" w:rsidP="001B232E">
      <w:pPr>
        <w:spacing w:after="0"/>
        <w:ind w:left="567" w:hanging="567"/>
      </w:pPr>
      <w:r>
        <w:t>1</w:t>
      </w:r>
      <w:r w:rsidR="00830592">
        <w:t>0</w:t>
      </w:r>
      <w:r w:rsidR="00D10266" w:rsidRPr="004453CC">
        <w:t>.1</w:t>
      </w:r>
      <w:r w:rsidR="00D10266">
        <w:tab/>
      </w:r>
      <w:r w:rsidR="001C0000">
        <w:t xml:space="preserve">Two Rivers Housing participates in the annual </w:t>
      </w:r>
      <w:r w:rsidR="00D10266">
        <w:t>RoSPA</w:t>
      </w:r>
      <w:r w:rsidR="004E6F26">
        <w:t xml:space="preserve"> Awards; the process requires</w:t>
      </w:r>
      <w:r w:rsidR="001C0000">
        <w:t xml:space="preserve"> us to respond to 19 units which require detailed response</w:t>
      </w:r>
      <w:r w:rsidR="004E6F26">
        <w:t>s</w:t>
      </w:r>
      <w:r w:rsidR="001C0000">
        <w:t xml:space="preserve"> supported with 8 pieces of evidence per unit. </w:t>
      </w:r>
    </w:p>
    <w:p w:rsidR="0043125C" w:rsidRDefault="004E6F26" w:rsidP="004E6F26">
      <w:pPr>
        <w:spacing w:after="0"/>
        <w:ind w:left="567" w:hanging="567"/>
      </w:pPr>
      <w:r>
        <w:tab/>
      </w:r>
      <w:r w:rsidR="001C0000">
        <w:t>RoSPA’s a</w:t>
      </w:r>
      <w:r w:rsidR="00D10266">
        <w:t xml:space="preserve">djudication panel </w:t>
      </w:r>
      <w:r w:rsidR="001C0000">
        <w:t>is made-up of health and safety professionals who scrutinise each unit response</w:t>
      </w:r>
      <w:r>
        <w:t>.</w:t>
      </w:r>
      <w:r w:rsidR="001C0000">
        <w:t xml:space="preserve"> </w:t>
      </w:r>
    </w:p>
    <w:p w:rsidR="0043125C" w:rsidRDefault="0043125C" w:rsidP="004E6F26">
      <w:pPr>
        <w:spacing w:after="0"/>
        <w:ind w:left="567" w:hanging="567"/>
      </w:pPr>
    </w:p>
    <w:p w:rsidR="004E6F26" w:rsidRDefault="0043125C" w:rsidP="004E6F26">
      <w:pPr>
        <w:spacing w:after="0"/>
        <w:ind w:left="567" w:hanging="567"/>
      </w:pPr>
      <w:r>
        <w:tab/>
      </w:r>
      <w:r w:rsidR="004E6F26">
        <w:t>T</w:t>
      </w:r>
      <w:r w:rsidR="001C0000">
        <w:t>he adjudication</w:t>
      </w:r>
      <w:r>
        <w:t xml:space="preserve"> </w:t>
      </w:r>
      <w:r w:rsidR="001C0000">
        <w:t xml:space="preserve">panel have </w:t>
      </w:r>
      <w:r w:rsidR="00D10266">
        <w:t>awarded</w:t>
      </w:r>
      <w:r w:rsidR="004E6F26">
        <w:t xml:space="preserve"> </w:t>
      </w:r>
      <w:r w:rsidR="00D10266">
        <w:t>T</w:t>
      </w:r>
      <w:r w:rsidR="001B232E">
        <w:t>wo</w:t>
      </w:r>
      <w:r w:rsidR="00D151B8">
        <w:t xml:space="preserve"> </w:t>
      </w:r>
      <w:r w:rsidR="001B232E">
        <w:t xml:space="preserve">Rivers Housing </w:t>
      </w:r>
      <w:r w:rsidR="004E6F26">
        <w:t xml:space="preserve">with </w:t>
      </w:r>
      <w:r w:rsidR="00D10266">
        <w:t>a Gold standard for the</w:t>
      </w:r>
      <w:r w:rsidR="00D151B8">
        <w:t xml:space="preserve"> </w:t>
      </w:r>
      <w:r w:rsidR="00830592">
        <w:t>5</w:t>
      </w:r>
      <w:r w:rsidRPr="0043125C">
        <w:rPr>
          <w:vertAlign w:val="superscript"/>
        </w:rPr>
        <w:t>th</w:t>
      </w:r>
      <w:r>
        <w:t xml:space="preserve"> </w:t>
      </w:r>
      <w:r w:rsidR="00830592">
        <w:t>consecutive year resulting in Two Rivers Housing receiving the Gold Medal Award.</w:t>
      </w:r>
    </w:p>
    <w:p w:rsidR="004E6F26" w:rsidRDefault="004E6F26" w:rsidP="004E6F26">
      <w:pPr>
        <w:spacing w:after="0"/>
        <w:ind w:left="567" w:hanging="567"/>
      </w:pPr>
    </w:p>
    <w:p w:rsidR="004E6F26" w:rsidRDefault="004E6F26" w:rsidP="004E6F26">
      <w:pPr>
        <w:spacing w:after="0"/>
        <w:ind w:left="567" w:hanging="567"/>
      </w:pPr>
      <w:r>
        <w:tab/>
        <w:t>This process confirms that Two Rivers Housing is committed to the safety of its staff and tenants and that we have robust systems in place to help us achieve this.</w:t>
      </w:r>
    </w:p>
    <w:p w:rsidR="0043125C" w:rsidRDefault="004E6F26" w:rsidP="004E6F26">
      <w:pPr>
        <w:spacing w:after="0"/>
        <w:ind w:left="567" w:hanging="567"/>
      </w:pPr>
      <w:r>
        <w:t xml:space="preserve">  </w:t>
      </w:r>
      <w:r w:rsidR="00943669">
        <w:tab/>
      </w:r>
    </w:p>
    <w:p w:rsidR="00F45C3D" w:rsidRDefault="0043125C" w:rsidP="007F1D3B">
      <w:pPr>
        <w:pStyle w:val="ListParagraph"/>
        <w:numPr>
          <w:ilvl w:val="0"/>
          <w:numId w:val="33"/>
        </w:numPr>
        <w:spacing w:after="0"/>
        <w:ind w:left="567" w:hanging="567"/>
        <w:rPr>
          <w:b/>
        </w:rPr>
      </w:pPr>
      <w:r>
        <w:rPr>
          <w:b/>
        </w:rPr>
        <w:t xml:space="preserve">Tenant </w:t>
      </w:r>
      <w:r w:rsidR="00F45C3D">
        <w:rPr>
          <w:b/>
        </w:rPr>
        <w:t xml:space="preserve">Health and Safety </w:t>
      </w:r>
      <w:r>
        <w:rPr>
          <w:b/>
        </w:rPr>
        <w:t>Handbook</w:t>
      </w:r>
    </w:p>
    <w:p w:rsidR="0043125C" w:rsidRDefault="0043125C" w:rsidP="0043125C">
      <w:pPr>
        <w:spacing w:after="0"/>
        <w:rPr>
          <w:b/>
        </w:rPr>
      </w:pPr>
    </w:p>
    <w:p w:rsidR="0043125C" w:rsidRPr="00673E08" w:rsidRDefault="00953693" w:rsidP="0043125C">
      <w:pPr>
        <w:spacing w:after="0"/>
        <w:ind w:left="567" w:hanging="567"/>
      </w:pPr>
      <w:r>
        <w:t>1</w:t>
      </w:r>
      <w:r w:rsidR="00753856">
        <w:t>1</w:t>
      </w:r>
      <w:r w:rsidR="0043125C">
        <w:t>.1</w:t>
      </w:r>
      <w:r w:rsidR="0043125C">
        <w:tab/>
        <w:t xml:space="preserve">A comprehensive ‘Safety in the Home’ handbook has been developed and made available to our tenants via TRH’s website. The Safety, Health and Environmental Manager is currently exploring the possibility of delivering centralised workshops to tenants who don’t have access to the internet. </w:t>
      </w:r>
    </w:p>
    <w:p w:rsidR="00DA03EA" w:rsidRPr="00DA03EA" w:rsidRDefault="00DA03EA" w:rsidP="001B232E">
      <w:pPr>
        <w:spacing w:after="0"/>
        <w:rPr>
          <w:b/>
        </w:rPr>
      </w:pPr>
    </w:p>
    <w:p w:rsidR="000E5DFD" w:rsidRDefault="000E5DFD" w:rsidP="007F1D3B">
      <w:pPr>
        <w:pStyle w:val="ListParagraph"/>
        <w:numPr>
          <w:ilvl w:val="0"/>
          <w:numId w:val="33"/>
        </w:numPr>
        <w:spacing w:after="0"/>
        <w:ind w:left="567" w:hanging="567"/>
        <w:rPr>
          <w:b/>
        </w:rPr>
      </w:pPr>
      <w:r>
        <w:rPr>
          <w:b/>
        </w:rPr>
        <w:t xml:space="preserve">Reporting </w:t>
      </w:r>
    </w:p>
    <w:p w:rsidR="000E5DFD" w:rsidRDefault="000E5DFD" w:rsidP="000E5DFD">
      <w:pPr>
        <w:spacing w:after="0"/>
        <w:rPr>
          <w:b/>
        </w:rPr>
      </w:pPr>
    </w:p>
    <w:p w:rsidR="000E5DFD" w:rsidRDefault="00953693" w:rsidP="000E5DFD">
      <w:pPr>
        <w:spacing w:after="0"/>
        <w:ind w:left="567" w:hanging="567"/>
      </w:pPr>
      <w:r>
        <w:t>1</w:t>
      </w:r>
      <w:r w:rsidR="00753856">
        <w:t>2</w:t>
      </w:r>
      <w:r w:rsidR="000E5DFD" w:rsidRPr="000E5DFD">
        <w:t>.1</w:t>
      </w:r>
      <w:r w:rsidR="000E5DFD" w:rsidRPr="000E5DFD">
        <w:tab/>
      </w:r>
      <w:r w:rsidR="000E5DFD">
        <w:t xml:space="preserve">Comprehensive </w:t>
      </w:r>
      <w:r w:rsidR="00306465">
        <w:t xml:space="preserve">year </w:t>
      </w:r>
      <w:proofErr w:type="gramStart"/>
      <w:r w:rsidR="00306465">
        <w:t>2017/18 year</w:t>
      </w:r>
      <w:proofErr w:type="gramEnd"/>
      <w:r w:rsidR="00306465">
        <w:t xml:space="preserve"> end </w:t>
      </w:r>
      <w:r w:rsidR="000E5DFD">
        <w:t>health and safety report</w:t>
      </w:r>
      <w:r w:rsidR="00306465">
        <w:t xml:space="preserve"> </w:t>
      </w:r>
      <w:r w:rsidR="0063481E">
        <w:t>ha</w:t>
      </w:r>
      <w:r w:rsidR="00306465">
        <w:t xml:space="preserve">s </w:t>
      </w:r>
      <w:r w:rsidR="0063481E">
        <w:t xml:space="preserve">been </w:t>
      </w:r>
      <w:r w:rsidR="000E5DFD">
        <w:t xml:space="preserve">submitted to the Board </w:t>
      </w:r>
      <w:r w:rsidR="0063481E">
        <w:t xml:space="preserve">for comment. </w:t>
      </w:r>
      <w:r w:rsidR="000E5DFD">
        <w:t xml:space="preserve"> </w:t>
      </w:r>
    </w:p>
    <w:p w:rsidR="000E5DFD" w:rsidRPr="000E5DFD" w:rsidRDefault="000E5DFD" w:rsidP="000E5DFD">
      <w:pPr>
        <w:spacing w:after="0"/>
        <w:ind w:left="567" w:hanging="567"/>
      </w:pPr>
    </w:p>
    <w:p w:rsidR="002C4516" w:rsidRDefault="002C4516" w:rsidP="007F1D3B">
      <w:pPr>
        <w:pStyle w:val="ListParagraph"/>
        <w:numPr>
          <w:ilvl w:val="0"/>
          <w:numId w:val="33"/>
        </w:numPr>
        <w:spacing w:after="0"/>
        <w:ind w:left="567" w:hanging="567"/>
        <w:rPr>
          <w:b/>
        </w:rPr>
      </w:pPr>
      <w:r w:rsidRPr="002C4516">
        <w:rPr>
          <w:b/>
        </w:rPr>
        <w:t>Summary</w:t>
      </w:r>
    </w:p>
    <w:p w:rsidR="001B232E" w:rsidRPr="001B232E" w:rsidRDefault="001B232E" w:rsidP="001B232E">
      <w:pPr>
        <w:spacing w:after="0"/>
        <w:rPr>
          <w:b/>
        </w:rPr>
      </w:pPr>
    </w:p>
    <w:p w:rsidR="009133A5" w:rsidRPr="009133A5" w:rsidRDefault="00753856" w:rsidP="00753856">
      <w:pPr>
        <w:spacing w:after="0"/>
        <w:ind w:left="567" w:hanging="567"/>
      </w:pPr>
      <w:r>
        <w:t>13</w:t>
      </w:r>
      <w:r w:rsidR="002C4516">
        <w:t>.1</w:t>
      </w:r>
      <w:r w:rsidR="00BF59B0">
        <w:tab/>
        <w:t xml:space="preserve">The general management of </w:t>
      </w:r>
      <w:r w:rsidR="003C528F">
        <w:t>h</w:t>
      </w:r>
      <w:r w:rsidR="00603737">
        <w:t>ealth</w:t>
      </w:r>
      <w:r w:rsidR="00DC25A8">
        <w:t>,</w:t>
      </w:r>
      <w:r w:rsidR="00603737">
        <w:t xml:space="preserve"> </w:t>
      </w:r>
      <w:r w:rsidR="003C528F">
        <w:t>s</w:t>
      </w:r>
      <w:r w:rsidR="00603737">
        <w:t>afety</w:t>
      </w:r>
      <w:r w:rsidR="00DC25A8">
        <w:t xml:space="preserve"> and wellbeing</w:t>
      </w:r>
      <w:r w:rsidR="00BF59B0">
        <w:t xml:space="preserve"> has improved from that of previous years</w:t>
      </w:r>
      <w:r w:rsidR="000E5DFD">
        <w:t xml:space="preserve"> and meeting the requirements of legislation. </w:t>
      </w:r>
      <w:r w:rsidR="009133A5">
        <w:t xml:space="preserve">  </w:t>
      </w:r>
    </w:p>
    <w:p w:rsidR="008C0253" w:rsidRPr="005E01D3" w:rsidRDefault="008C0253" w:rsidP="005E01D3">
      <w:pPr>
        <w:spacing w:before="240" w:line="240" w:lineRule="auto"/>
        <w:ind w:left="426" w:hanging="426"/>
      </w:pPr>
    </w:p>
    <w:sectPr w:rsidR="008C0253" w:rsidRPr="005E01D3" w:rsidSect="001B232E">
      <w:footerReference w:type="default" r:id="rId11"/>
      <w:pgSz w:w="11906" w:h="16838"/>
      <w:pgMar w:top="568" w:right="707"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592" w:rsidRDefault="00830592">
      <w:pPr>
        <w:spacing w:after="0" w:line="240" w:lineRule="auto"/>
      </w:pPr>
      <w:r>
        <w:separator/>
      </w:r>
    </w:p>
  </w:endnote>
  <w:endnote w:type="continuationSeparator" w:id="0">
    <w:p w:rsidR="00830592" w:rsidRDefault="0083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592" w:rsidRPr="001F1867" w:rsidRDefault="00830592" w:rsidP="00D76659">
    <w:pPr>
      <w:jc w:val="center"/>
      <w:rPr>
        <w:rFonts w:ascii="Arial Narrow" w:hAnsi="Arial Narrow"/>
        <w:sz w:val="18"/>
        <w:szCs w:val="18"/>
      </w:rPr>
    </w:pPr>
    <w:r w:rsidRPr="001F1867">
      <w:rPr>
        <w:rFonts w:ascii="Arial Narrow" w:hAnsi="Arial Narrow"/>
        <w:sz w:val="18"/>
        <w:szCs w:val="18"/>
      </w:rPr>
      <w:t xml:space="preserve">Page </w:t>
    </w:r>
    <w:r w:rsidRPr="001F1867">
      <w:rPr>
        <w:rFonts w:ascii="Arial Narrow" w:hAnsi="Arial Narrow"/>
        <w:sz w:val="18"/>
        <w:szCs w:val="18"/>
      </w:rPr>
      <w:fldChar w:fldCharType="begin"/>
    </w:r>
    <w:r w:rsidRPr="001F1867">
      <w:rPr>
        <w:rFonts w:ascii="Arial Narrow" w:hAnsi="Arial Narrow"/>
        <w:sz w:val="18"/>
        <w:szCs w:val="18"/>
      </w:rPr>
      <w:instrText xml:space="preserve"> PAGE </w:instrText>
    </w:r>
    <w:r w:rsidRPr="001F1867">
      <w:rPr>
        <w:rFonts w:ascii="Arial Narrow" w:hAnsi="Arial Narrow"/>
        <w:sz w:val="18"/>
        <w:szCs w:val="18"/>
      </w:rPr>
      <w:fldChar w:fldCharType="separate"/>
    </w:r>
    <w:r w:rsidR="00306465">
      <w:rPr>
        <w:rFonts w:ascii="Arial Narrow" w:hAnsi="Arial Narrow"/>
        <w:noProof/>
        <w:sz w:val="18"/>
        <w:szCs w:val="18"/>
      </w:rPr>
      <w:t>2</w:t>
    </w:r>
    <w:r w:rsidRPr="001F1867">
      <w:rPr>
        <w:rFonts w:ascii="Arial Narrow" w:hAnsi="Arial Narrow"/>
        <w:sz w:val="18"/>
        <w:szCs w:val="18"/>
      </w:rPr>
      <w:fldChar w:fldCharType="end"/>
    </w:r>
    <w:r w:rsidRPr="001F1867">
      <w:rPr>
        <w:rFonts w:ascii="Arial Narrow" w:hAnsi="Arial Narrow"/>
        <w:sz w:val="18"/>
        <w:szCs w:val="18"/>
      </w:rPr>
      <w:t xml:space="preserve"> of </w:t>
    </w:r>
    <w:r w:rsidRPr="001F1867">
      <w:rPr>
        <w:rFonts w:ascii="Arial Narrow" w:hAnsi="Arial Narrow"/>
        <w:sz w:val="18"/>
        <w:szCs w:val="18"/>
      </w:rPr>
      <w:fldChar w:fldCharType="begin"/>
    </w:r>
    <w:r w:rsidRPr="001F1867">
      <w:rPr>
        <w:rFonts w:ascii="Arial Narrow" w:hAnsi="Arial Narrow"/>
        <w:sz w:val="18"/>
        <w:szCs w:val="18"/>
      </w:rPr>
      <w:instrText xml:space="preserve"> NUMPAGES </w:instrText>
    </w:r>
    <w:r w:rsidRPr="001F1867">
      <w:rPr>
        <w:rFonts w:ascii="Arial Narrow" w:hAnsi="Arial Narrow"/>
        <w:sz w:val="18"/>
        <w:szCs w:val="18"/>
      </w:rPr>
      <w:fldChar w:fldCharType="separate"/>
    </w:r>
    <w:r w:rsidR="00306465">
      <w:rPr>
        <w:rFonts w:ascii="Arial Narrow" w:hAnsi="Arial Narrow"/>
        <w:noProof/>
        <w:sz w:val="18"/>
        <w:szCs w:val="18"/>
      </w:rPr>
      <w:t>4</w:t>
    </w:r>
    <w:r w:rsidRPr="001F1867">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592" w:rsidRDefault="00830592">
      <w:pPr>
        <w:spacing w:after="0" w:line="240" w:lineRule="auto"/>
      </w:pPr>
      <w:r>
        <w:separator/>
      </w:r>
    </w:p>
  </w:footnote>
  <w:footnote w:type="continuationSeparator" w:id="0">
    <w:p w:rsidR="00830592" w:rsidRDefault="00830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228F"/>
    <w:multiLevelType w:val="hybridMultilevel"/>
    <w:tmpl w:val="54F48D5C"/>
    <w:lvl w:ilvl="0" w:tplc="7A76685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663534"/>
    <w:multiLevelType w:val="hybridMultilevel"/>
    <w:tmpl w:val="890C0E7E"/>
    <w:lvl w:ilvl="0" w:tplc="7A76685C">
      <w:start w:val="1"/>
      <w:numFmt w:val="bullet"/>
      <w:lvlText w:val=""/>
      <w:lvlJc w:val="left"/>
      <w:pPr>
        <w:ind w:left="1650" w:hanging="360"/>
      </w:pPr>
      <w:rPr>
        <w:rFonts w:ascii="Symbol" w:hAnsi="Symbol" w:hint="default"/>
        <w:color w:val="auto"/>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15:restartNumberingAfterBreak="0">
    <w:nsid w:val="17B65844"/>
    <w:multiLevelType w:val="hybridMultilevel"/>
    <w:tmpl w:val="EBFA806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B02CDB"/>
    <w:multiLevelType w:val="hybridMultilevel"/>
    <w:tmpl w:val="122CA0E4"/>
    <w:lvl w:ilvl="0" w:tplc="08090019">
      <w:start w:val="1"/>
      <w:numFmt w:val="lowerLetter"/>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 w15:restartNumberingAfterBreak="0">
    <w:nsid w:val="21C12ABD"/>
    <w:multiLevelType w:val="hybridMultilevel"/>
    <w:tmpl w:val="9BFCA2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33A0E15"/>
    <w:multiLevelType w:val="hybridMultilevel"/>
    <w:tmpl w:val="00AC2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23D2E"/>
    <w:multiLevelType w:val="hybridMultilevel"/>
    <w:tmpl w:val="8294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50AE1"/>
    <w:multiLevelType w:val="multilevel"/>
    <w:tmpl w:val="A58EE930"/>
    <w:lvl w:ilvl="0">
      <w:start w:val="3"/>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9644DA"/>
    <w:multiLevelType w:val="hybridMultilevel"/>
    <w:tmpl w:val="3586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FD7ECC"/>
    <w:multiLevelType w:val="multilevel"/>
    <w:tmpl w:val="A14418C6"/>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482C23"/>
    <w:multiLevelType w:val="hybridMultilevel"/>
    <w:tmpl w:val="E12A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E069C"/>
    <w:multiLevelType w:val="hybridMultilevel"/>
    <w:tmpl w:val="9316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8032B"/>
    <w:multiLevelType w:val="hybridMultilevel"/>
    <w:tmpl w:val="D9BCAE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AA0004"/>
    <w:multiLevelType w:val="hybridMultilevel"/>
    <w:tmpl w:val="6E5C573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38FE1505"/>
    <w:multiLevelType w:val="hybridMultilevel"/>
    <w:tmpl w:val="4934AA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C4BB3"/>
    <w:multiLevelType w:val="hybridMultilevel"/>
    <w:tmpl w:val="C7E6566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6" w15:restartNumberingAfterBreak="0">
    <w:nsid w:val="3A31221E"/>
    <w:multiLevelType w:val="hybridMultilevel"/>
    <w:tmpl w:val="7932FF0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7" w15:restartNumberingAfterBreak="0">
    <w:nsid w:val="3B783858"/>
    <w:multiLevelType w:val="hybridMultilevel"/>
    <w:tmpl w:val="97AE713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8" w15:restartNumberingAfterBreak="0">
    <w:nsid w:val="3BA72537"/>
    <w:multiLevelType w:val="hybridMultilevel"/>
    <w:tmpl w:val="93548C2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9" w15:restartNumberingAfterBreak="0">
    <w:nsid w:val="3EDC3286"/>
    <w:multiLevelType w:val="hybridMultilevel"/>
    <w:tmpl w:val="1BAC114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0" w15:restartNumberingAfterBreak="0">
    <w:nsid w:val="45FE640A"/>
    <w:multiLevelType w:val="hybridMultilevel"/>
    <w:tmpl w:val="5BD6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596930"/>
    <w:multiLevelType w:val="hybridMultilevel"/>
    <w:tmpl w:val="BE00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A079F4"/>
    <w:multiLevelType w:val="hybridMultilevel"/>
    <w:tmpl w:val="AC12C260"/>
    <w:lvl w:ilvl="0" w:tplc="08090019">
      <w:start w:val="1"/>
      <w:numFmt w:val="lowerLetter"/>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3" w15:restartNumberingAfterBreak="0">
    <w:nsid w:val="5A593EDF"/>
    <w:multiLevelType w:val="hybridMultilevel"/>
    <w:tmpl w:val="C7E8C8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5D606DD4"/>
    <w:multiLevelType w:val="hybridMultilevel"/>
    <w:tmpl w:val="49FA5466"/>
    <w:lvl w:ilvl="0" w:tplc="0809000F">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5" w15:restartNumberingAfterBreak="0">
    <w:nsid w:val="608E7982"/>
    <w:multiLevelType w:val="hybridMultilevel"/>
    <w:tmpl w:val="A69EA99E"/>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64C10BE9"/>
    <w:multiLevelType w:val="hybridMultilevel"/>
    <w:tmpl w:val="426CACC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7" w15:restartNumberingAfterBreak="0">
    <w:nsid w:val="68892192"/>
    <w:multiLevelType w:val="hybridMultilevel"/>
    <w:tmpl w:val="12D6D7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1C5DD8"/>
    <w:multiLevelType w:val="hybridMultilevel"/>
    <w:tmpl w:val="07187FB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9" w15:restartNumberingAfterBreak="0">
    <w:nsid w:val="6C5A7C14"/>
    <w:multiLevelType w:val="hybridMultilevel"/>
    <w:tmpl w:val="7904F104"/>
    <w:lvl w:ilvl="0" w:tplc="1032970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E1262E"/>
    <w:multiLevelType w:val="multilevel"/>
    <w:tmpl w:val="7804BD5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3E279C2"/>
    <w:multiLevelType w:val="hybridMultilevel"/>
    <w:tmpl w:val="C0A2A300"/>
    <w:lvl w:ilvl="0" w:tplc="0809000F">
      <w:start w:val="1"/>
      <w:numFmt w:val="decimal"/>
      <w:lvlText w:val="%1."/>
      <w:lvlJc w:val="left"/>
      <w:pPr>
        <w:ind w:left="1335" w:hanging="360"/>
      </w:p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32" w15:restartNumberingAfterBreak="0">
    <w:nsid w:val="785D6D2A"/>
    <w:multiLevelType w:val="multilevel"/>
    <w:tmpl w:val="B4906CCE"/>
    <w:lvl w:ilvl="0">
      <w:start w:val="1"/>
      <w:numFmt w:val="decimal"/>
      <w:lvlText w:val="%1."/>
      <w:lvlJc w:val="left"/>
      <w:pPr>
        <w:ind w:left="720" w:hanging="360"/>
      </w:pPr>
      <w:rPr>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D9F19A7"/>
    <w:multiLevelType w:val="hybridMultilevel"/>
    <w:tmpl w:val="45649890"/>
    <w:lvl w:ilvl="0" w:tplc="6DC0C60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0A717C"/>
    <w:multiLevelType w:val="hybridMultilevel"/>
    <w:tmpl w:val="CA967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31"/>
  </w:num>
  <w:num w:numId="4">
    <w:abstractNumId w:val="25"/>
  </w:num>
  <w:num w:numId="5">
    <w:abstractNumId w:val="6"/>
  </w:num>
  <w:num w:numId="6">
    <w:abstractNumId w:val="24"/>
  </w:num>
  <w:num w:numId="7">
    <w:abstractNumId w:val="17"/>
  </w:num>
  <w:num w:numId="8">
    <w:abstractNumId w:val="18"/>
  </w:num>
  <w:num w:numId="9">
    <w:abstractNumId w:val="34"/>
  </w:num>
  <w:num w:numId="10">
    <w:abstractNumId w:val="28"/>
  </w:num>
  <w:num w:numId="11">
    <w:abstractNumId w:val="5"/>
  </w:num>
  <w:num w:numId="12">
    <w:abstractNumId w:val="21"/>
  </w:num>
  <w:num w:numId="13">
    <w:abstractNumId w:val="13"/>
  </w:num>
  <w:num w:numId="14">
    <w:abstractNumId w:val="11"/>
  </w:num>
  <w:num w:numId="15">
    <w:abstractNumId w:val="23"/>
  </w:num>
  <w:num w:numId="16">
    <w:abstractNumId w:val="16"/>
  </w:num>
  <w:num w:numId="17">
    <w:abstractNumId w:val="27"/>
  </w:num>
  <w:num w:numId="18">
    <w:abstractNumId w:val="3"/>
  </w:num>
  <w:num w:numId="19">
    <w:abstractNumId w:val="22"/>
  </w:num>
  <w:num w:numId="20">
    <w:abstractNumId w:val="19"/>
  </w:num>
  <w:num w:numId="21">
    <w:abstractNumId w:val="20"/>
  </w:num>
  <w:num w:numId="22">
    <w:abstractNumId w:val="15"/>
  </w:num>
  <w:num w:numId="23">
    <w:abstractNumId w:val="14"/>
  </w:num>
  <w:num w:numId="24">
    <w:abstractNumId w:val="4"/>
  </w:num>
  <w:num w:numId="25">
    <w:abstractNumId w:val="29"/>
  </w:num>
  <w:num w:numId="26">
    <w:abstractNumId w:val="10"/>
  </w:num>
  <w:num w:numId="27">
    <w:abstractNumId w:val="33"/>
  </w:num>
  <w:num w:numId="28">
    <w:abstractNumId w:val="7"/>
  </w:num>
  <w:num w:numId="29">
    <w:abstractNumId w:val="0"/>
  </w:num>
  <w:num w:numId="30">
    <w:abstractNumId w:val="1"/>
  </w:num>
  <w:num w:numId="31">
    <w:abstractNumId w:val="26"/>
  </w:num>
  <w:num w:numId="32">
    <w:abstractNumId w:val="12"/>
  </w:num>
  <w:num w:numId="33">
    <w:abstractNumId w:val="9"/>
  </w:num>
  <w:num w:numId="34">
    <w:abstractNumId w:val="3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B6B"/>
    <w:rsid w:val="00002530"/>
    <w:rsid w:val="00026D2F"/>
    <w:rsid w:val="00027036"/>
    <w:rsid w:val="00033B10"/>
    <w:rsid w:val="00042C2E"/>
    <w:rsid w:val="00043136"/>
    <w:rsid w:val="00044318"/>
    <w:rsid w:val="000460DB"/>
    <w:rsid w:val="0004765D"/>
    <w:rsid w:val="000501A5"/>
    <w:rsid w:val="0005659B"/>
    <w:rsid w:val="000674F2"/>
    <w:rsid w:val="000C6F25"/>
    <w:rsid w:val="000E4206"/>
    <w:rsid w:val="000E5DFD"/>
    <w:rsid w:val="000E7537"/>
    <w:rsid w:val="000F03EC"/>
    <w:rsid w:val="00112FFA"/>
    <w:rsid w:val="001177AE"/>
    <w:rsid w:val="00125FD5"/>
    <w:rsid w:val="0012741D"/>
    <w:rsid w:val="001550CB"/>
    <w:rsid w:val="00190A99"/>
    <w:rsid w:val="0019692C"/>
    <w:rsid w:val="001B232E"/>
    <w:rsid w:val="001B74FE"/>
    <w:rsid w:val="001C0000"/>
    <w:rsid w:val="001C55C1"/>
    <w:rsid w:val="001D629B"/>
    <w:rsid w:val="001D6510"/>
    <w:rsid w:val="001D7DFF"/>
    <w:rsid w:val="001E29B6"/>
    <w:rsid w:val="001F5880"/>
    <w:rsid w:val="00204BB7"/>
    <w:rsid w:val="00244CA8"/>
    <w:rsid w:val="002768B8"/>
    <w:rsid w:val="00277D88"/>
    <w:rsid w:val="002A7508"/>
    <w:rsid w:val="002B1644"/>
    <w:rsid w:val="002C04C2"/>
    <w:rsid w:val="002C4182"/>
    <w:rsid w:val="002C434B"/>
    <w:rsid w:val="002C4516"/>
    <w:rsid w:val="002D62D1"/>
    <w:rsid w:val="00306465"/>
    <w:rsid w:val="00307EFE"/>
    <w:rsid w:val="00315BA5"/>
    <w:rsid w:val="00333073"/>
    <w:rsid w:val="00347F40"/>
    <w:rsid w:val="00350872"/>
    <w:rsid w:val="00351954"/>
    <w:rsid w:val="00362AA3"/>
    <w:rsid w:val="00392E8B"/>
    <w:rsid w:val="003A5F47"/>
    <w:rsid w:val="003A64BB"/>
    <w:rsid w:val="003C528F"/>
    <w:rsid w:val="003F21AE"/>
    <w:rsid w:val="004078A9"/>
    <w:rsid w:val="0041038D"/>
    <w:rsid w:val="00412D78"/>
    <w:rsid w:val="00415D58"/>
    <w:rsid w:val="004210B8"/>
    <w:rsid w:val="00423BD9"/>
    <w:rsid w:val="004257A6"/>
    <w:rsid w:val="00427BBB"/>
    <w:rsid w:val="00430F98"/>
    <w:rsid w:val="0043125C"/>
    <w:rsid w:val="00435D97"/>
    <w:rsid w:val="004453CC"/>
    <w:rsid w:val="0044593C"/>
    <w:rsid w:val="00453FAA"/>
    <w:rsid w:val="0045798F"/>
    <w:rsid w:val="0047630F"/>
    <w:rsid w:val="00477562"/>
    <w:rsid w:val="0049154D"/>
    <w:rsid w:val="004958A3"/>
    <w:rsid w:val="004C61FC"/>
    <w:rsid w:val="004E3BCC"/>
    <w:rsid w:val="004E415C"/>
    <w:rsid w:val="004E6F26"/>
    <w:rsid w:val="00503ECE"/>
    <w:rsid w:val="00504B60"/>
    <w:rsid w:val="00514E61"/>
    <w:rsid w:val="005312C8"/>
    <w:rsid w:val="0053325C"/>
    <w:rsid w:val="00546067"/>
    <w:rsid w:val="005560D3"/>
    <w:rsid w:val="005672BE"/>
    <w:rsid w:val="005714A4"/>
    <w:rsid w:val="005B71C4"/>
    <w:rsid w:val="005C1D50"/>
    <w:rsid w:val="005E01D3"/>
    <w:rsid w:val="00603737"/>
    <w:rsid w:val="00631CFF"/>
    <w:rsid w:val="0063481E"/>
    <w:rsid w:val="0065412E"/>
    <w:rsid w:val="00660138"/>
    <w:rsid w:val="006661ED"/>
    <w:rsid w:val="00683584"/>
    <w:rsid w:val="006A6571"/>
    <w:rsid w:val="006B0CD7"/>
    <w:rsid w:val="006B4E10"/>
    <w:rsid w:val="006B7D23"/>
    <w:rsid w:val="006C0ADB"/>
    <w:rsid w:val="006D5D5F"/>
    <w:rsid w:val="006E42E6"/>
    <w:rsid w:val="0072010B"/>
    <w:rsid w:val="00743053"/>
    <w:rsid w:val="00744736"/>
    <w:rsid w:val="00753856"/>
    <w:rsid w:val="00755EEA"/>
    <w:rsid w:val="007738D8"/>
    <w:rsid w:val="00784CCF"/>
    <w:rsid w:val="00791104"/>
    <w:rsid w:val="007D7DA3"/>
    <w:rsid w:val="007F1D3B"/>
    <w:rsid w:val="007F5B6B"/>
    <w:rsid w:val="00803E4B"/>
    <w:rsid w:val="00816AD5"/>
    <w:rsid w:val="00830592"/>
    <w:rsid w:val="00844947"/>
    <w:rsid w:val="00844A75"/>
    <w:rsid w:val="008573B7"/>
    <w:rsid w:val="00874636"/>
    <w:rsid w:val="00877794"/>
    <w:rsid w:val="0088644E"/>
    <w:rsid w:val="008924CA"/>
    <w:rsid w:val="00897058"/>
    <w:rsid w:val="008A36AA"/>
    <w:rsid w:val="008A79C1"/>
    <w:rsid w:val="008B0289"/>
    <w:rsid w:val="008B696E"/>
    <w:rsid w:val="008C0253"/>
    <w:rsid w:val="008E324A"/>
    <w:rsid w:val="008F1FB1"/>
    <w:rsid w:val="008F7883"/>
    <w:rsid w:val="009020F9"/>
    <w:rsid w:val="009133A5"/>
    <w:rsid w:val="00931221"/>
    <w:rsid w:val="00943669"/>
    <w:rsid w:val="009469C8"/>
    <w:rsid w:val="00951C3E"/>
    <w:rsid w:val="00953693"/>
    <w:rsid w:val="00954114"/>
    <w:rsid w:val="00965209"/>
    <w:rsid w:val="00981F4F"/>
    <w:rsid w:val="00996564"/>
    <w:rsid w:val="009A0797"/>
    <w:rsid w:val="009A1893"/>
    <w:rsid w:val="009B0F85"/>
    <w:rsid w:val="009B4D42"/>
    <w:rsid w:val="009C160E"/>
    <w:rsid w:val="009D0FB1"/>
    <w:rsid w:val="009D2CCB"/>
    <w:rsid w:val="009F6CC3"/>
    <w:rsid w:val="009F77FD"/>
    <w:rsid w:val="00A063F2"/>
    <w:rsid w:val="00A653CE"/>
    <w:rsid w:val="00A77F0A"/>
    <w:rsid w:val="00A97A24"/>
    <w:rsid w:val="00AA0CBF"/>
    <w:rsid w:val="00AC2C31"/>
    <w:rsid w:val="00AE63AC"/>
    <w:rsid w:val="00B015C8"/>
    <w:rsid w:val="00B06580"/>
    <w:rsid w:val="00B22ACE"/>
    <w:rsid w:val="00B46B5A"/>
    <w:rsid w:val="00B47653"/>
    <w:rsid w:val="00B56F69"/>
    <w:rsid w:val="00B6642B"/>
    <w:rsid w:val="00B80E46"/>
    <w:rsid w:val="00B92399"/>
    <w:rsid w:val="00BA2440"/>
    <w:rsid w:val="00BC283B"/>
    <w:rsid w:val="00BE461E"/>
    <w:rsid w:val="00BE773D"/>
    <w:rsid w:val="00BF59B0"/>
    <w:rsid w:val="00C02B51"/>
    <w:rsid w:val="00C06F57"/>
    <w:rsid w:val="00C20247"/>
    <w:rsid w:val="00C2274B"/>
    <w:rsid w:val="00C2343B"/>
    <w:rsid w:val="00C33661"/>
    <w:rsid w:val="00C4343A"/>
    <w:rsid w:val="00C50F9F"/>
    <w:rsid w:val="00C62106"/>
    <w:rsid w:val="00C62A34"/>
    <w:rsid w:val="00C75621"/>
    <w:rsid w:val="00C928E4"/>
    <w:rsid w:val="00CB6EDA"/>
    <w:rsid w:val="00CE033E"/>
    <w:rsid w:val="00D04F2B"/>
    <w:rsid w:val="00D10266"/>
    <w:rsid w:val="00D12A48"/>
    <w:rsid w:val="00D151B8"/>
    <w:rsid w:val="00D51160"/>
    <w:rsid w:val="00D70294"/>
    <w:rsid w:val="00D761A0"/>
    <w:rsid w:val="00D76659"/>
    <w:rsid w:val="00D9466D"/>
    <w:rsid w:val="00DA03EA"/>
    <w:rsid w:val="00DA1EAB"/>
    <w:rsid w:val="00DC25A8"/>
    <w:rsid w:val="00DD5F2A"/>
    <w:rsid w:val="00E02221"/>
    <w:rsid w:val="00E1596C"/>
    <w:rsid w:val="00E16C04"/>
    <w:rsid w:val="00E24D7B"/>
    <w:rsid w:val="00E363F3"/>
    <w:rsid w:val="00E500C7"/>
    <w:rsid w:val="00E614AE"/>
    <w:rsid w:val="00E61C22"/>
    <w:rsid w:val="00E7442F"/>
    <w:rsid w:val="00EA5996"/>
    <w:rsid w:val="00EB682D"/>
    <w:rsid w:val="00ED0D60"/>
    <w:rsid w:val="00ED7FEC"/>
    <w:rsid w:val="00F20E55"/>
    <w:rsid w:val="00F439C4"/>
    <w:rsid w:val="00F445E6"/>
    <w:rsid w:val="00F45C3D"/>
    <w:rsid w:val="00F4794D"/>
    <w:rsid w:val="00F66FCD"/>
    <w:rsid w:val="00F71F34"/>
    <w:rsid w:val="00F723DB"/>
    <w:rsid w:val="00FA3867"/>
    <w:rsid w:val="00FD1DE3"/>
    <w:rsid w:val="00FE0D03"/>
    <w:rsid w:val="00FE5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2C26E-4F55-43F6-9BC2-DF2CA663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B6B"/>
    <w:pPr>
      <w:ind w:left="720"/>
      <w:contextualSpacing/>
    </w:pPr>
  </w:style>
  <w:style w:type="paragraph" w:styleId="BalloonText">
    <w:name w:val="Balloon Text"/>
    <w:basedOn w:val="Normal"/>
    <w:link w:val="BalloonTextChar"/>
    <w:uiPriority w:val="99"/>
    <w:semiHidden/>
    <w:unhideWhenUsed/>
    <w:rsid w:val="002C0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4C2"/>
    <w:rPr>
      <w:rFonts w:ascii="Tahoma" w:hAnsi="Tahoma" w:cs="Tahoma"/>
      <w:sz w:val="16"/>
      <w:szCs w:val="16"/>
    </w:rPr>
  </w:style>
  <w:style w:type="table" w:styleId="TableGrid">
    <w:name w:val="Table Grid"/>
    <w:basedOn w:val="TableNormal"/>
    <w:uiPriority w:val="59"/>
    <w:rsid w:val="006A6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460DB"/>
    <w:rPr>
      <w:b/>
      <w:bCs/>
    </w:rPr>
  </w:style>
  <w:style w:type="paragraph" w:customStyle="1" w:styleId="Default">
    <w:name w:val="Default"/>
    <w:rsid w:val="0044593C"/>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76057">
      <w:bodyDiv w:val="1"/>
      <w:marLeft w:val="0"/>
      <w:marRight w:val="0"/>
      <w:marTop w:val="0"/>
      <w:marBottom w:val="0"/>
      <w:divBdr>
        <w:top w:val="none" w:sz="0" w:space="0" w:color="auto"/>
        <w:left w:val="none" w:sz="0" w:space="0" w:color="auto"/>
        <w:bottom w:val="none" w:sz="0" w:space="0" w:color="auto"/>
        <w:right w:val="none" w:sz="0" w:space="0" w:color="auto"/>
      </w:divBdr>
    </w:div>
    <w:div w:id="213204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01.png@01D3D637.750E67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8027BAD5.dotm</Template>
  <TotalTime>0</TotalTime>
  <Pages>4</Pages>
  <Words>1027</Words>
  <Characters>5856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Two Rivers Housing</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Tootell,Andrew</dc:creator>
  <cp:lastModifiedBy>Leanne Ashton</cp:lastModifiedBy>
  <cp:revision>2</cp:revision>
  <cp:lastPrinted>2016-04-29T09:34:00Z</cp:lastPrinted>
  <dcterms:created xsi:type="dcterms:W3CDTF">2019-01-15T10:53:00Z</dcterms:created>
  <dcterms:modified xsi:type="dcterms:W3CDTF">2019-01-15T10:53:00Z</dcterms:modified>
</cp:coreProperties>
</file>